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67A9" w14:textId="4674B2EC" w:rsidR="006A67EB" w:rsidRPr="006A67EB" w:rsidRDefault="006A67EB" w:rsidP="006A67EB">
      <w:pPr>
        <w:jc w:val="center"/>
        <w:rPr>
          <w:b/>
          <w:bCs/>
          <w:sz w:val="28"/>
          <w:szCs w:val="28"/>
        </w:rPr>
      </w:pPr>
      <w:r w:rsidRPr="006A67EB">
        <w:rPr>
          <w:b/>
          <w:bCs/>
          <w:sz w:val="28"/>
          <w:szCs w:val="28"/>
        </w:rPr>
        <w:t>DEPARTAMENTO ADMINISTRATIVO DE LA FUNCION PÚBLICA</w:t>
      </w:r>
    </w:p>
    <w:p w14:paraId="685992E9" w14:textId="192C2FC2" w:rsidR="006A67EB" w:rsidRPr="006A67EB" w:rsidRDefault="006A67EB" w:rsidP="006A67EB">
      <w:pPr>
        <w:jc w:val="center"/>
        <w:rPr>
          <w:b/>
          <w:bCs/>
          <w:sz w:val="28"/>
          <w:szCs w:val="28"/>
        </w:rPr>
      </w:pPr>
      <w:r w:rsidRPr="006A67EB">
        <w:rPr>
          <w:b/>
          <w:bCs/>
          <w:sz w:val="28"/>
          <w:szCs w:val="28"/>
        </w:rPr>
        <w:t>CONCEPTO 363541</w:t>
      </w:r>
    </w:p>
    <w:p w14:paraId="24CB9790" w14:textId="77777777" w:rsidR="006A67EB" w:rsidRPr="006A67EB" w:rsidRDefault="006A67EB" w:rsidP="006A67EB">
      <w:pPr>
        <w:jc w:val="both"/>
        <w:rPr>
          <w:b/>
          <w:bCs/>
          <w:sz w:val="28"/>
          <w:szCs w:val="28"/>
        </w:rPr>
      </w:pPr>
    </w:p>
    <w:p w14:paraId="265751C5" w14:textId="77777777" w:rsidR="006A67EB" w:rsidRPr="006A67EB" w:rsidRDefault="006A67EB" w:rsidP="006A67EB">
      <w:pPr>
        <w:jc w:val="both"/>
        <w:rPr>
          <w:sz w:val="28"/>
          <w:szCs w:val="28"/>
        </w:rPr>
      </w:pPr>
      <w:r w:rsidRPr="006A67EB">
        <w:rPr>
          <w:sz w:val="28"/>
          <w:szCs w:val="28"/>
        </w:rPr>
        <w:t>Bogotá D.C.</w:t>
      </w:r>
    </w:p>
    <w:p w14:paraId="7EE8A6CA" w14:textId="77777777" w:rsidR="006A67EB" w:rsidRPr="006A67EB" w:rsidRDefault="006A67EB" w:rsidP="006A67EB">
      <w:pPr>
        <w:jc w:val="both"/>
        <w:rPr>
          <w:sz w:val="28"/>
          <w:szCs w:val="28"/>
        </w:rPr>
      </w:pPr>
      <w:r w:rsidRPr="006A67EB">
        <w:rPr>
          <w:sz w:val="28"/>
          <w:szCs w:val="28"/>
        </w:rPr>
        <w:t> </w:t>
      </w:r>
    </w:p>
    <w:p w14:paraId="3E538460" w14:textId="4F30DD4C" w:rsidR="006A67EB" w:rsidRPr="006A67EB" w:rsidRDefault="006A67EB" w:rsidP="006A67EB">
      <w:pPr>
        <w:jc w:val="both"/>
        <w:rPr>
          <w:sz w:val="28"/>
          <w:szCs w:val="28"/>
        </w:rPr>
      </w:pPr>
      <w:r w:rsidRPr="006A67EB">
        <w:rPr>
          <w:b/>
          <w:bCs/>
          <w:sz w:val="28"/>
          <w:szCs w:val="28"/>
        </w:rPr>
        <w:t>REF: SITUACIONES ADMINISTRATIVAS: VACACIONES.</w:t>
      </w:r>
      <w:r w:rsidRPr="006A67EB">
        <w:rPr>
          <w:sz w:val="28"/>
          <w:szCs w:val="28"/>
        </w:rPr>
        <w:t> SUBTEMA. Compensación. Empleado público facultado para ordenar la compensación de las vacaciones de un alcalde municipal. </w:t>
      </w:r>
    </w:p>
    <w:p w14:paraId="250A2D6B" w14:textId="77777777" w:rsidR="006A67EB" w:rsidRPr="006A67EB" w:rsidRDefault="006A67EB" w:rsidP="006A67EB">
      <w:pPr>
        <w:jc w:val="both"/>
        <w:rPr>
          <w:sz w:val="28"/>
          <w:szCs w:val="28"/>
        </w:rPr>
      </w:pPr>
      <w:r w:rsidRPr="006A67EB">
        <w:rPr>
          <w:sz w:val="28"/>
          <w:szCs w:val="28"/>
        </w:rPr>
        <w:t> </w:t>
      </w:r>
    </w:p>
    <w:p w14:paraId="127D33D9" w14:textId="77777777" w:rsidR="006A67EB" w:rsidRPr="006A67EB" w:rsidRDefault="006A67EB" w:rsidP="006A67EB">
      <w:pPr>
        <w:jc w:val="both"/>
        <w:rPr>
          <w:sz w:val="28"/>
          <w:szCs w:val="28"/>
        </w:rPr>
      </w:pPr>
      <w:r w:rsidRPr="006A67EB">
        <w:rPr>
          <w:sz w:val="28"/>
          <w:szCs w:val="28"/>
        </w:rPr>
        <w:t>En atención a su comunicación, mediante la cual consulta por el empleado público facultado para ordenar la compensación de las vacaciones de un alcalde municipal, me permito manifestarle lo siguiente:</w:t>
      </w:r>
    </w:p>
    <w:p w14:paraId="683AB45E" w14:textId="77777777" w:rsidR="006A67EB" w:rsidRPr="006A67EB" w:rsidRDefault="006A67EB" w:rsidP="006A67EB">
      <w:pPr>
        <w:jc w:val="both"/>
        <w:rPr>
          <w:sz w:val="28"/>
          <w:szCs w:val="28"/>
        </w:rPr>
      </w:pPr>
      <w:r w:rsidRPr="006A67EB">
        <w:rPr>
          <w:sz w:val="28"/>
          <w:szCs w:val="28"/>
        </w:rPr>
        <w:t> </w:t>
      </w:r>
    </w:p>
    <w:p w14:paraId="2F265E41" w14:textId="77777777" w:rsidR="006A67EB" w:rsidRPr="006A67EB" w:rsidRDefault="006A67EB" w:rsidP="006A67EB">
      <w:pPr>
        <w:jc w:val="both"/>
        <w:rPr>
          <w:sz w:val="28"/>
          <w:szCs w:val="28"/>
        </w:rPr>
      </w:pPr>
      <w:r w:rsidRPr="006A67EB">
        <w:rPr>
          <w:sz w:val="28"/>
          <w:szCs w:val="28"/>
        </w:rPr>
        <w:t>Inicialmente, es preciso indicar que conforme establecido en el Decreto </w:t>
      </w:r>
      <w:hyperlink r:id="rId4" w:anchor="430" w:tooltip="vinculo" w:history="1">
        <w:r w:rsidRPr="006A67EB">
          <w:rPr>
            <w:rStyle w:val="Hipervnculo"/>
            <w:sz w:val="28"/>
            <w:szCs w:val="28"/>
          </w:rPr>
          <w:t>430</w:t>
        </w:r>
      </w:hyperlink>
      <w:r w:rsidRPr="006A67EB">
        <w:rPr>
          <w:sz w:val="28"/>
          <w:szCs w:val="28"/>
        </w:rPr>
        <w:t> de 2016</w:t>
      </w:r>
      <w:r w:rsidRPr="006A67EB">
        <w:rPr>
          <w:sz w:val="28"/>
          <w:szCs w:val="28"/>
          <w:vertAlign w:val="superscript"/>
        </w:rPr>
        <w:t>1</w:t>
      </w:r>
      <w:r w:rsidRPr="006A67EB">
        <w:rPr>
          <w:sz w:val="28"/>
          <w:szCs w:val="28"/>
        </w:rPr>
        <w:t>, a este Departamento Administrativo le compete formular, implementar, hacer seguimiento y evaluar las políticas de desarrollo administrativo de la función pública, el empleo público, la gestión del talento humano en las entidades estatales, la gerencia pública, el desempeño de las funciones públicas por los particulares, la organización administrativa del Estado, la planeación y la gestión, el control interno, la participación ciudadana, la transparencia en la gestión pública y el servicio al ciudadano, propiciando la materialización de los principios orientadores de la función administrativa.</w:t>
      </w:r>
    </w:p>
    <w:p w14:paraId="6DFAB0DD" w14:textId="77777777" w:rsidR="006A67EB" w:rsidRPr="006A67EB" w:rsidRDefault="006A67EB" w:rsidP="006A67EB">
      <w:pPr>
        <w:jc w:val="both"/>
        <w:rPr>
          <w:sz w:val="28"/>
          <w:szCs w:val="28"/>
        </w:rPr>
      </w:pPr>
      <w:r w:rsidRPr="006A67EB">
        <w:rPr>
          <w:sz w:val="28"/>
          <w:szCs w:val="28"/>
        </w:rPr>
        <w:t> </w:t>
      </w:r>
    </w:p>
    <w:p w14:paraId="455FF28A" w14:textId="77777777" w:rsidR="006A67EB" w:rsidRPr="006A67EB" w:rsidRDefault="006A67EB" w:rsidP="006A67EB">
      <w:pPr>
        <w:jc w:val="both"/>
        <w:rPr>
          <w:sz w:val="28"/>
          <w:szCs w:val="28"/>
        </w:rPr>
      </w:pPr>
      <w:r w:rsidRPr="006A67EB">
        <w:rPr>
          <w:sz w:val="28"/>
          <w:szCs w:val="28"/>
        </w:rPr>
        <w:t xml:space="preserve">Por lo anterior, se deduce que esta entidad no es un organismo de control o vigilancia y no cuenta con la facultad legal para determinar derechos individuales, ni tiene la potestad legal para señalar a las entidades públicas como se debe adelantar el manejo de su personal, por consiguiente, las manifestaciones dadas mediante conceptos tienen la finalidad de dar orientación general de las normas de administración de </w:t>
      </w:r>
      <w:r w:rsidRPr="006A67EB">
        <w:rPr>
          <w:sz w:val="28"/>
          <w:szCs w:val="28"/>
        </w:rPr>
        <w:lastRenderedPageBreak/>
        <w:t>personal en el sector público en el marco del alcance que determina el artículo </w:t>
      </w:r>
      <w:hyperlink r:id="rId5" w:anchor="28" w:tooltip="vinculo" w:history="1">
        <w:r w:rsidRPr="006A67EB">
          <w:rPr>
            <w:rStyle w:val="Hipervnculo"/>
            <w:sz w:val="28"/>
            <w:szCs w:val="28"/>
          </w:rPr>
          <w:t>28</w:t>
        </w:r>
      </w:hyperlink>
      <w:r w:rsidRPr="006A67EB">
        <w:rPr>
          <w:sz w:val="28"/>
          <w:szCs w:val="28"/>
        </w:rPr>
        <w:t> de la Ley </w:t>
      </w:r>
      <w:hyperlink r:id="rId6" w:anchor="1437" w:tooltip="vinculo" w:history="1">
        <w:r w:rsidRPr="006A67EB">
          <w:rPr>
            <w:rStyle w:val="Hipervnculo"/>
            <w:sz w:val="28"/>
            <w:szCs w:val="28"/>
          </w:rPr>
          <w:t>1437</w:t>
        </w:r>
      </w:hyperlink>
      <w:r w:rsidRPr="006A67EB">
        <w:rPr>
          <w:sz w:val="28"/>
          <w:szCs w:val="28"/>
        </w:rPr>
        <w:t> de 2011; es decir, no serán de obligatorio cumplimiento o ejecución y no comprometen a la entidad pública.</w:t>
      </w:r>
    </w:p>
    <w:p w14:paraId="0CE87379" w14:textId="77777777" w:rsidR="006A67EB" w:rsidRPr="006A67EB" w:rsidRDefault="006A67EB" w:rsidP="006A67EB">
      <w:pPr>
        <w:jc w:val="both"/>
        <w:rPr>
          <w:sz w:val="28"/>
          <w:szCs w:val="28"/>
        </w:rPr>
      </w:pPr>
      <w:r w:rsidRPr="006A67EB">
        <w:rPr>
          <w:sz w:val="28"/>
          <w:szCs w:val="28"/>
        </w:rPr>
        <w:t> </w:t>
      </w:r>
    </w:p>
    <w:p w14:paraId="4CA2AC8B" w14:textId="77777777" w:rsidR="006A67EB" w:rsidRPr="006A67EB" w:rsidRDefault="006A67EB" w:rsidP="006A67EB">
      <w:pPr>
        <w:jc w:val="both"/>
        <w:rPr>
          <w:sz w:val="28"/>
          <w:szCs w:val="28"/>
        </w:rPr>
      </w:pPr>
      <w:r w:rsidRPr="006A67EB">
        <w:rPr>
          <w:sz w:val="28"/>
          <w:szCs w:val="28"/>
        </w:rPr>
        <w:t>Aclarado lo anterior, a modo de información general, es importante señalar que, a partir de la vigencia del Decreto </w:t>
      </w:r>
      <w:hyperlink r:id="rId7" w:anchor="1919" w:tooltip="vinculo" w:history="1">
        <w:r w:rsidRPr="006A67EB">
          <w:rPr>
            <w:rStyle w:val="Hipervnculo"/>
            <w:sz w:val="28"/>
            <w:szCs w:val="28"/>
          </w:rPr>
          <w:t>1919</w:t>
        </w:r>
      </w:hyperlink>
      <w:r w:rsidRPr="006A67EB">
        <w:rPr>
          <w:sz w:val="28"/>
          <w:szCs w:val="28"/>
        </w:rPr>
        <w:t> de 2002, todos los empleados públicos vinculados o que se vinculen a las entidades del sector central y descentralizado de la Rama Ejecutiva de los niveles Departamental, Distrital y Municipal, a las Asambleas Departamentales, a los Concejos Distritales y Municipales, a las Contralorías territoriales, a las Personerías Distritales y Municipales, a las Veedurías, así como el personal administrativo de empleados públicos de las Juntas Administrativas Locales, de las Instituciones de Educación Superior, de las Instituciones de Educación Primaria, Secundaria y media vocacional, gozarán del régimen de prestaciones sociales señalado para los empleados públicos de la Rama Ejecutiva del Poder Públicos del Orden Nacional.</w:t>
      </w:r>
    </w:p>
    <w:p w14:paraId="17C22432" w14:textId="77777777" w:rsidR="006A67EB" w:rsidRPr="006A67EB" w:rsidRDefault="006A67EB" w:rsidP="006A67EB">
      <w:pPr>
        <w:jc w:val="both"/>
        <w:rPr>
          <w:sz w:val="28"/>
          <w:szCs w:val="28"/>
        </w:rPr>
      </w:pPr>
      <w:r w:rsidRPr="006A67EB">
        <w:rPr>
          <w:sz w:val="28"/>
          <w:szCs w:val="28"/>
        </w:rPr>
        <w:t> </w:t>
      </w:r>
    </w:p>
    <w:p w14:paraId="0DF34186" w14:textId="77777777" w:rsidR="006A67EB" w:rsidRPr="006A67EB" w:rsidRDefault="006A67EB" w:rsidP="006A67EB">
      <w:pPr>
        <w:jc w:val="both"/>
        <w:rPr>
          <w:sz w:val="28"/>
          <w:szCs w:val="28"/>
        </w:rPr>
      </w:pPr>
      <w:r w:rsidRPr="006A67EB">
        <w:rPr>
          <w:sz w:val="28"/>
          <w:szCs w:val="28"/>
        </w:rPr>
        <w:t xml:space="preserve">Lo anterior significa </w:t>
      </w:r>
      <w:proofErr w:type="gramStart"/>
      <w:r w:rsidRPr="006A67EB">
        <w:rPr>
          <w:sz w:val="28"/>
          <w:szCs w:val="28"/>
        </w:rPr>
        <w:t>que</w:t>
      </w:r>
      <w:proofErr w:type="gramEnd"/>
      <w:r w:rsidRPr="006A67EB">
        <w:rPr>
          <w:sz w:val="28"/>
          <w:szCs w:val="28"/>
        </w:rPr>
        <w:t xml:space="preserve"> a partir del 1 de septiembre de 2002, se reconocen las prestaciones sociales que causen los empleados territoriales en los términos y condiciones que rigen para el orden nacional.</w:t>
      </w:r>
    </w:p>
    <w:p w14:paraId="48255D5D" w14:textId="77777777" w:rsidR="006A67EB" w:rsidRPr="006A67EB" w:rsidRDefault="006A67EB" w:rsidP="006A67EB">
      <w:pPr>
        <w:jc w:val="both"/>
        <w:rPr>
          <w:sz w:val="28"/>
          <w:szCs w:val="28"/>
        </w:rPr>
      </w:pPr>
      <w:r w:rsidRPr="006A67EB">
        <w:rPr>
          <w:sz w:val="28"/>
          <w:szCs w:val="28"/>
        </w:rPr>
        <w:t> </w:t>
      </w:r>
    </w:p>
    <w:p w14:paraId="5C7B8EA7" w14:textId="77777777" w:rsidR="006A67EB" w:rsidRDefault="006A67EB" w:rsidP="006A67EB">
      <w:pPr>
        <w:jc w:val="both"/>
        <w:rPr>
          <w:sz w:val="28"/>
          <w:szCs w:val="28"/>
        </w:rPr>
      </w:pPr>
      <w:r w:rsidRPr="006A67EB">
        <w:rPr>
          <w:sz w:val="28"/>
          <w:szCs w:val="28"/>
        </w:rPr>
        <w:t xml:space="preserve">Es importante tener presente que los empleados públicos tienen derecho a quince días hábiles de vacaciones por cada año de servicios, el monto de </w:t>
      </w:r>
      <w:proofErr w:type="gramStart"/>
      <w:r w:rsidRPr="006A67EB">
        <w:rPr>
          <w:sz w:val="28"/>
          <w:szCs w:val="28"/>
        </w:rPr>
        <w:t>las mismas</w:t>
      </w:r>
      <w:proofErr w:type="gramEnd"/>
      <w:r w:rsidRPr="006A67EB">
        <w:rPr>
          <w:sz w:val="28"/>
          <w:szCs w:val="28"/>
        </w:rPr>
        <w:t xml:space="preserve"> se liquidará con el salario devengado al momento de salir a disfrutarlas.</w:t>
      </w:r>
    </w:p>
    <w:p w14:paraId="1F03FAE5" w14:textId="77777777" w:rsidR="006A67EB" w:rsidRDefault="006A67EB" w:rsidP="006A67EB">
      <w:pPr>
        <w:jc w:val="both"/>
        <w:rPr>
          <w:sz w:val="28"/>
          <w:szCs w:val="28"/>
        </w:rPr>
      </w:pPr>
    </w:p>
    <w:p w14:paraId="45FA15FE" w14:textId="77777777" w:rsidR="006A67EB" w:rsidRPr="006A67EB" w:rsidRDefault="006A67EB" w:rsidP="006A67EB">
      <w:pPr>
        <w:jc w:val="both"/>
        <w:rPr>
          <w:sz w:val="28"/>
          <w:szCs w:val="28"/>
        </w:rPr>
      </w:pPr>
    </w:p>
    <w:p w14:paraId="0B1C7CA8" w14:textId="77777777" w:rsidR="006A67EB" w:rsidRPr="006A67EB" w:rsidRDefault="006A67EB" w:rsidP="006A67EB">
      <w:pPr>
        <w:jc w:val="both"/>
        <w:rPr>
          <w:sz w:val="28"/>
          <w:szCs w:val="28"/>
        </w:rPr>
      </w:pPr>
      <w:r w:rsidRPr="006A67EB">
        <w:rPr>
          <w:sz w:val="28"/>
          <w:szCs w:val="28"/>
        </w:rPr>
        <w:t> </w:t>
      </w:r>
    </w:p>
    <w:p w14:paraId="5EE6E04B" w14:textId="77777777" w:rsidR="006A67EB" w:rsidRPr="006A67EB" w:rsidRDefault="006A67EB" w:rsidP="006A67EB">
      <w:pPr>
        <w:jc w:val="both"/>
        <w:rPr>
          <w:sz w:val="28"/>
          <w:szCs w:val="28"/>
        </w:rPr>
      </w:pPr>
      <w:r w:rsidRPr="006A67EB">
        <w:rPr>
          <w:sz w:val="28"/>
          <w:szCs w:val="28"/>
        </w:rPr>
        <w:lastRenderedPageBreak/>
        <w:t>Sobre la materia, el Decreto Ley </w:t>
      </w:r>
      <w:hyperlink r:id="rId8" w:anchor="1045" w:tooltip="vinculo" w:history="1">
        <w:r w:rsidRPr="006A67EB">
          <w:rPr>
            <w:rStyle w:val="Hipervnculo"/>
            <w:sz w:val="28"/>
            <w:szCs w:val="28"/>
          </w:rPr>
          <w:t>1045</w:t>
        </w:r>
      </w:hyperlink>
      <w:r w:rsidRPr="006A67EB">
        <w:rPr>
          <w:sz w:val="28"/>
          <w:szCs w:val="28"/>
        </w:rPr>
        <w:t> de 1978</w:t>
      </w:r>
      <w:r w:rsidRPr="006A67EB">
        <w:rPr>
          <w:sz w:val="28"/>
          <w:szCs w:val="28"/>
          <w:vertAlign w:val="superscript"/>
        </w:rPr>
        <w:t>2</w:t>
      </w:r>
      <w:r w:rsidRPr="006A67EB">
        <w:rPr>
          <w:sz w:val="28"/>
          <w:szCs w:val="28"/>
        </w:rPr>
        <w:t>, dispone:</w:t>
      </w:r>
    </w:p>
    <w:p w14:paraId="5A377DFA" w14:textId="77777777" w:rsidR="006A67EB" w:rsidRPr="006A67EB" w:rsidRDefault="006A67EB" w:rsidP="006A67EB">
      <w:pPr>
        <w:jc w:val="both"/>
        <w:rPr>
          <w:sz w:val="28"/>
          <w:szCs w:val="28"/>
        </w:rPr>
      </w:pPr>
      <w:r w:rsidRPr="006A67EB">
        <w:rPr>
          <w:b/>
          <w:bCs/>
          <w:sz w:val="28"/>
          <w:szCs w:val="28"/>
        </w:rPr>
        <w:t> </w:t>
      </w:r>
    </w:p>
    <w:p w14:paraId="1DE8CCC5" w14:textId="77777777" w:rsidR="006A67EB" w:rsidRPr="006A67EB" w:rsidRDefault="006A67EB" w:rsidP="006A67EB">
      <w:pPr>
        <w:jc w:val="both"/>
        <w:rPr>
          <w:sz w:val="28"/>
          <w:szCs w:val="28"/>
        </w:rPr>
      </w:pPr>
      <w:r w:rsidRPr="006A67EB">
        <w:rPr>
          <w:b/>
          <w:bCs/>
          <w:i/>
          <w:iCs/>
          <w:sz w:val="28"/>
          <w:szCs w:val="28"/>
        </w:rPr>
        <w:t>“ARTÍCULO </w:t>
      </w:r>
      <w:hyperlink r:id="rId9" w:anchor="8" w:tooltip="vinculo" w:history="1">
        <w:r w:rsidRPr="006A67EB">
          <w:rPr>
            <w:rStyle w:val="Hipervnculo"/>
            <w:b/>
            <w:bCs/>
            <w:i/>
            <w:iCs/>
            <w:sz w:val="28"/>
            <w:szCs w:val="28"/>
          </w:rPr>
          <w:t>8</w:t>
        </w:r>
      </w:hyperlink>
      <w:r w:rsidRPr="006A67EB">
        <w:rPr>
          <w:b/>
          <w:bCs/>
          <w:i/>
          <w:iCs/>
          <w:sz w:val="28"/>
          <w:szCs w:val="28"/>
        </w:rPr>
        <w:t>. DE LAS VACACIONES.</w:t>
      </w:r>
      <w:r w:rsidRPr="006A67EB">
        <w:rPr>
          <w:i/>
          <w:iCs/>
          <w:sz w:val="28"/>
          <w:szCs w:val="28"/>
        </w:rPr>
        <w:t xml:space="preserve"> - Los empleados públicos y trabajadores oficiales tienen derecho a quince (15) días hábiles de vacaciones por cada año de servicios, salvo lo que se disponga en normas o estipulaciones especiales. En los organismos cuya jornada semanal se desarrolle entre lunes y viernes, el </w:t>
      </w:r>
      <w:proofErr w:type="gramStart"/>
      <w:r w:rsidRPr="006A67EB">
        <w:rPr>
          <w:i/>
          <w:iCs/>
          <w:sz w:val="28"/>
          <w:szCs w:val="28"/>
        </w:rPr>
        <w:t>día sábado</w:t>
      </w:r>
      <w:proofErr w:type="gramEnd"/>
      <w:r w:rsidRPr="006A67EB">
        <w:rPr>
          <w:i/>
          <w:iCs/>
          <w:sz w:val="28"/>
          <w:szCs w:val="28"/>
        </w:rPr>
        <w:t xml:space="preserve"> no se computará como día hábil para efecto de vacaciones”. (Subrayo).</w:t>
      </w:r>
    </w:p>
    <w:p w14:paraId="07045918" w14:textId="77777777" w:rsidR="006A67EB" w:rsidRPr="006A67EB" w:rsidRDefault="006A67EB" w:rsidP="006A67EB">
      <w:pPr>
        <w:jc w:val="both"/>
        <w:rPr>
          <w:sz w:val="28"/>
          <w:szCs w:val="28"/>
        </w:rPr>
      </w:pPr>
      <w:r w:rsidRPr="006A67EB">
        <w:rPr>
          <w:i/>
          <w:iCs/>
          <w:sz w:val="28"/>
          <w:szCs w:val="28"/>
        </w:rPr>
        <w:t> </w:t>
      </w:r>
    </w:p>
    <w:p w14:paraId="4CDA91AF" w14:textId="77777777" w:rsidR="006A67EB" w:rsidRPr="006A67EB" w:rsidRDefault="006A67EB" w:rsidP="006A67EB">
      <w:pPr>
        <w:jc w:val="both"/>
        <w:rPr>
          <w:sz w:val="28"/>
          <w:szCs w:val="28"/>
        </w:rPr>
      </w:pPr>
      <w:r w:rsidRPr="006A67EB">
        <w:rPr>
          <w:b/>
          <w:bCs/>
          <w:i/>
          <w:iCs/>
          <w:sz w:val="28"/>
          <w:szCs w:val="28"/>
        </w:rPr>
        <w:t>ARTÍCULO </w:t>
      </w:r>
      <w:hyperlink r:id="rId10" w:anchor="17" w:tooltip="vinculo" w:history="1">
        <w:r w:rsidRPr="006A67EB">
          <w:rPr>
            <w:rStyle w:val="Hipervnculo"/>
            <w:b/>
            <w:bCs/>
            <w:i/>
            <w:iCs/>
            <w:sz w:val="28"/>
            <w:szCs w:val="28"/>
          </w:rPr>
          <w:t>17</w:t>
        </w:r>
      </w:hyperlink>
      <w:r w:rsidRPr="006A67EB">
        <w:rPr>
          <w:b/>
          <w:bCs/>
          <w:i/>
          <w:iCs/>
          <w:sz w:val="28"/>
          <w:szCs w:val="28"/>
        </w:rPr>
        <w:t>. DE LOS FACTORES SALARIALES PARA LA LIQUIDACION DE VACACIONES Y PRIMA DE VACACIONES.</w:t>
      </w:r>
      <w:r w:rsidRPr="006A67EB">
        <w:rPr>
          <w:i/>
          <w:iCs/>
          <w:sz w:val="28"/>
          <w:szCs w:val="28"/>
        </w:rPr>
        <w:t> Para efectos de liquidar tanto el descanso remunerado por concepto de vacaciones como la prima de vacaciones de que trata este decreto, se tendrán en cuenta los siguientes factores de salario, siempre que correspondan al empleado en la fecha en la cual inicie el disfrute de aquellas:</w:t>
      </w:r>
    </w:p>
    <w:p w14:paraId="29DD67C4" w14:textId="77777777" w:rsidR="006A67EB" w:rsidRPr="006A67EB" w:rsidRDefault="006A67EB" w:rsidP="006A67EB">
      <w:pPr>
        <w:jc w:val="both"/>
        <w:rPr>
          <w:sz w:val="28"/>
          <w:szCs w:val="28"/>
        </w:rPr>
      </w:pPr>
      <w:r w:rsidRPr="006A67EB">
        <w:rPr>
          <w:i/>
          <w:iCs/>
          <w:sz w:val="28"/>
          <w:szCs w:val="28"/>
        </w:rPr>
        <w:t>a. La asignación básica mensual señalada para el respectivo cargo;</w:t>
      </w:r>
    </w:p>
    <w:p w14:paraId="68E4A0E0" w14:textId="48F9AB47" w:rsidR="006A67EB" w:rsidRPr="006A67EB" w:rsidRDefault="006A67EB" w:rsidP="006A67EB">
      <w:pPr>
        <w:jc w:val="both"/>
        <w:rPr>
          <w:sz w:val="28"/>
          <w:szCs w:val="28"/>
        </w:rPr>
      </w:pPr>
      <w:r w:rsidRPr="006A67EB">
        <w:rPr>
          <w:i/>
          <w:iCs/>
          <w:sz w:val="28"/>
          <w:szCs w:val="28"/>
        </w:rPr>
        <w:t> b. Los incrementos de remuneración a que se refieren los artículos </w:t>
      </w:r>
      <w:hyperlink r:id="rId11" w:anchor="49" w:tooltip="vinculo" w:history="1">
        <w:r w:rsidRPr="006A67EB">
          <w:rPr>
            <w:rStyle w:val="Hipervnculo"/>
            <w:i/>
            <w:iCs/>
            <w:sz w:val="28"/>
            <w:szCs w:val="28"/>
          </w:rPr>
          <w:t>49</w:t>
        </w:r>
      </w:hyperlink>
      <w:r w:rsidRPr="006A67EB">
        <w:rPr>
          <w:i/>
          <w:iCs/>
          <w:sz w:val="28"/>
          <w:szCs w:val="28"/>
        </w:rPr>
        <w:t> y </w:t>
      </w:r>
      <w:hyperlink r:id="rId12" w:anchor="97" w:tooltip="vinculo" w:history="1">
        <w:r w:rsidRPr="006A67EB">
          <w:rPr>
            <w:rStyle w:val="Hipervnculo"/>
            <w:i/>
            <w:iCs/>
            <w:sz w:val="28"/>
            <w:szCs w:val="28"/>
          </w:rPr>
          <w:t>97</w:t>
        </w:r>
      </w:hyperlink>
      <w:r w:rsidRPr="006A67EB">
        <w:rPr>
          <w:i/>
          <w:iCs/>
          <w:sz w:val="28"/>
          <w:szCs w:val="28"/>
        </w:rPr>
        <w:t> del decreto-ley </w:t>
      </w:r>
      <w:hyperlink r:id="rId13" w:anchor="1042" w:tooltip="vinculo" w:history="1">
        <w:r w:rsidRPr="006A67EB">
          <w:rPr>
            <w:rStyle w:val="Hipervnculo"/>
            <w:i/>
            <w:iCs/>
            <w:sz w:val="28"/>
            <w:szCs w:val="28"/>
          </w:rPr>
          <w:t>1042</w:t>
        </w:r>
      </w:hyperlink>
      <w:r w:rsidRPr="006A67EB">
        <w:rPr>
          <w:i/>
          <w:iCs/>
          <w:sz w:val="28"/>
          <w:szCs w:val="28"/>
        </w:rPr>
        <w:t> de 1978;</w:t>
      </w:r>
    </w:p>
    <w:p w14:paraId="67F0A68F" w14:textId="2D2C9165" w:rsidR="006A67EB" w:rsidRPr="006A67EB" w:rsidRDefault="006A67EB" w:rsidP="006A67EB">
      <w:pPr>
        <w:jc w:val="both"/>
        <w:rPr>
          <w:sz w:val="28"/>
          <w:szCs w:val="28"/>
        </w:rPr>
      </w:pPr>
      <w:r w:rsidRPr="006A67EB">
        <w:rPr>
          <w:i/>
          <w:iCs/>
          <w:sz w:val="28"/>
          <w:szCs w:val="28"/>
        </w:rPr>
        <w:t> c. Los gastos de representación;</w:t>
      </w:r>
    </w:p>
    <w:p w14:paraId="319D0A88" w14:textId="21D297ED" w:rsidR="006A67EB" w:rsidRPr="006A67EB" w:rsidRDefault="006A67EB" w:rsidP="006A67EB">
      <w:pPr>
        <w:jc w:val="both"/>
        <w:rPr>
          <w:sz w:val="28"/>
          <w:szCs w:val="28"/>
        </w:rPr>
      </w:pPr>
      <w:r w:rsidRPr="006A67EB">
        <w:rPr>
          <w:i/>
          <w:iCs/>
          <w:sz w:val="28"/>
          <w:szCs w:val="28"/>
        </w:rPr>
        <w:t> d. La prima técnica;</w:t>
      </w:r>
    </w:p>
    <w:p w14:paraId="409C3FEB" w14:textId="271B1679" w:rsidR="006A67EB" w:rsidRPr="006A67EB" w:rsidRDefault="006A67EB" w:rsidP="006A67EB">
      <w:pPr>
        <w:jc w:val="both"/>
        <w:rPr>
          <w:sz w:val="28"/>
          <w:szCs w:val="28"/>
        </w:rPr>
      </w:pPr>
      <w:r w:rsidRPr="006A67EB">
        <w:rPr>
          <w:i/>
          <w:iCs/>
          <w:sz w:val="28"/>
          <w:szCs w:val="28"/>
        </w:rPr>
        <w:t> e. Los auxilios de alimentación y de transporte;</w:t>
      </w:r>
    </w:p>
    <w:p w14:paraId="3618F815" w14:textId="5539DC59" w:rsidR="006A67EB" w:rsidRPr="006A67EB" w:rsidRDefault="006A67EB" w:rsidP="006A67EB">
      <w:pPr>
        <w:jc w:val="both"/>
        <w:rPr>
          <w:sz w:val="28"/>
          <w:szCs w:val="28"/>
        </w:rPr>
      </w:pPr>
      <w:r w:rsidRPr="006A67EB">
        <w:rPr>
          <w:i/>
          <w:iCs/>
          <w:sz w:val="28"/>
          <w:szCs w:val="28"/>
        </w:rPr>
        <w:t> f. La prima de servicios;</w:t>
      </w:r>
    </w:p>
    <w:p w14:paraId="76F1FF57" w14:textId="77777777" w:rsidR="006A67EB" w:rsidRPr="006A67EB" w:rsidRDefault="006A67EB" w:rsidP="006A67EB">
      <w:pPr>
        <w:jc w:val="both"/>
        <w:rPr>
          <w:sz w:val="28"/>
          <w:szCs w:val="28"/>
        </w:rPr>
      </w:pPr>
      <w:r w:rsidRPr="006A67EB">
        <w:rPr>
          <w:i/>
          <w:iCs/>
          <w:sz w:val="28"/>
          <w:szCs w:val="28"/>
        </w:rPr>
        <w:t> </w:t>
      </w:r>
    </w:p>
    <w:p w14:paraId="3CDD91E9" w14:textId="77777777" w:rsidR="006A67EB" w:rsidRPr="006A67EB" w:rsidRDefault="006A67EB" w:rsidP="006A67EB">
      <w:pPr>
        <w:jc w:val="both"/>
        <w:rPr>
          <w:sz w:val="28"/>
          <w:szCs w:val="28"/>
        </w:rPr>
      </w:pPr>
      <w:r w:rsidRPr="006A67EB">
        <w:rPr>
          <w:i/>
          <w:iCs/>
          <w:sz w:val="28"/>
          <w:szCs w:val="28"/>
        </w:rPr>
        <w:t>g. La bonificación por servicios prestados.</w:t>
      </w:r>
    </w:p>
    <w:p w14:paraId="1B33614D" w14:textId="77777777" w:rsidR="006A67EB" w:rsidRPr="006A67EB" w:rsidRDefault="006A67EB" w:rsidP="006A67EB">
      <w:pPr>
        <w:jc w:val="both"/>
        <w:rPr>
          <w:sz w:val="28"/>
          <w:szCs w:val="28"/>
        </w:rPr>
      </w:pPr>
      <w:r w:rsidRPr="006A67EB">
        <w:rPr>
          <w:i/>
          <w:iCs/>
          <w:sz w:val="28"/>
          <w:szCs w:val="28"/>
        </w:rPr>
        <w:t> </w:t>
      </w:r>
    </w:p>
    <w:p w14:paraId="15B2EF7B" w14:textId="77777777" w:rsidR="0029614A" w:rsidRPr="006A67EB" w:rsidRDefault="0029614A" w:rsidP="006A67EB">
      <w:pPr>
        <w:jc w:val="both"/>
        <w:rPr>
          <w:sz w:val="28"/>
          <w:szCs w:val="28"/>
        </w:rPr>
      </w:pPr>
    </w:p>
    <w:sectPr w:rsidR="0029614A" w:rsidRPr="006A67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EB"/>
    <w:rsid w:val="0029614A"/>
    <w:rsid w:val="006A67EB"/>
    <w:rsid w:val="00CA47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780"/>
  <w15:chartTrackingRefBased/>
  <w15:docId w15:val="{05AB619B-A279-4B22-8957-6D3C53A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67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67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67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67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67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67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67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67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67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67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67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67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67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67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67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67EB"/>
    <w:rPr>
      <w:rFonts w:eastAsiaTheme="majorEastAsia" w:cstheme="majorBidi"/>
      <w:color w:val="272727" w:themeColor="text1" w:themeTint="D8"/>
    </w:rPr>
  </w:style>
  <w:style w:type="paragraph" w:styleId="Ttulo">
    <w:name w:val="Title"/>
    <w:basedOn w:val="Normal"/>
    <w:next w:val="Normal"/>
    <w:link w:val="TtuloCar"/>
    <w:uiPriority w:val="10"/>
    <w:qFormat/>
    <w:rsid w:val="006A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67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67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67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67EB"/>
    <w:pPr>
      <w:spacing w:before="160"/>
      <w:jc w:val="center"/>
    </w:pPr>
    <w:rPr>
      <w:i/>
      <w:iCs/>
      <w:color w:val="404040" w:themeColor="text1" w:themeTint="BF"/>
    </w:rPr>
  </w:style>
  <w:style w:type="character" w:customStyle="1" w:styleId="CitaCar">
    <w:name w:val="Cita Car"/>
    <w:basedOn w:val="Fuentedeprrafopredeter"/>
    <w:link w:val="Cita"/>
    <w:uiPriority w:val="29"/>
    <w:rsid w:val="006A67EB"/>
    <w:rPr>
      <w:i/>
      <w:iCs/>
      <w:color w:val="404040" w:themeColor="text1" w:themeTint="BF"/>
    </w:rPr>
  </w:style>
  <w:style w:type="paragraph" w:styleId="Prrafodelista">
    <w:name w:val="List Paragraph"/>
    <w:basedOn w:val="Normal"/>
    <w:uiPriority w:val="34"/>
    <w:qFormat/>
    <w:rsid w:val="006A67EB"/>
    <w:pPr>
      <w:ind w:left="720"/>
      <w:contextualSpacing/>
    </w:pPr>
  </w:style>
  <w:style w:type="character" w:styleId="nfasisintenso">
    <w:name w:val="Intense Emphasis"/>
    <w:basedOn w:val="Fuentedeprrafopredeter"/>
    <w:uiPriority w:val="21"/>
    <w:qFormat/>
    <w:rsid w:val="006A67EB"/>
    <w:rPr>
      <w:i/>
      <w:iCs/>
      <w:color w:val="0F4761" w:themeColor="accent1" w:themeShade="BF"/>
    </w:rPr>
  </w:style>
  <w:style w:type="paragraph" w:styleId="Citadestacada">
    <w:name w:val="Intense Quote"/>
    <w:basedOn w:val="Normal"/>
    <w:next w:val="Normal"/>
    <w:link w:val="CitadestacadaCar"/>
    <w:uiPriority w:val="30"/>
    <w:qFormat/>
    <w:rsid w:val="006A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67EB"/>
    <w:rPr>
      <w:i/>
      <w:iCs/>
      <w:color w:val="0F4761" w:themeColor="accent1" w:themeShade="BF"/>
    </w:rPr>
  </w:style>
  <w:style w:type="character" w:styleId="Referenciaintensa">
    <w:name w:val="Intense Reference"/>
    <w:basedOn w:val="Fuentedeprrafopredeter"/>
    <w:uiPriority w:val="32"/>
    <w:qFormat/>
    <w:rsid w:val="006A67EB"/>
    <w:rPr>
      <w:b/>
      <w:bCs/>
      <w:smallCaps/>
      <w:color w:val="0F4761" w:themeColor="accent1" w:themeShade="BF"/>
      <w:spacing w:val="5"/>
    </w:rPr>
  </w:style>
  <w:style w:type="character" w:styleId="Hipervnculo">
    <w:name w:val="Hyperlink"/>
    <w:basedOn w:val="Fuentedeprrafopredeter"/>
    <w:uiPriority w:val="99"/>
    <w:unhideWhenUsed/>
    <w:rsid w:val="006A67EB"/>
    <w:rPr>
      <w:color w:val="467886" w:themeColor="hyperlink"/>
      <w:u w:val="single"/>
    </w:rPr>
  </w:style>
  <w:style w:type="character" w:styleId="Mencinsinresolver">
    <w:name w:val="Unresolved Mention"/>
    <w:basedOn w:val="Fuentedeprrafopredeter"/>
    <w:uiPriority w:val="99"/>
    <w:semiHidden/>
    <w:unhideWhenUsed/>
    <w:rsid w:val="006A6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466" TargetMode="External"/><Relationship Id="rId13" Type="http://schemas.openxmlformats.org/officeDocument/2006/relationships/hyperlink" Target="https://www.funcionpublica.gov.co/eva/gestornormativo/norma.php?i=66581" TargetMode="External"/><Relationship Id="rId3" Type="http://schemas.openxmlformats.org/officeDocument/2006/relationships/webSettings" Target="webSettings.xml"/><Relationship Id="rId7" Type="http://schemas.openxmlformats.org/officeDocument/2006/relationships/hyperlink" Target="https://www.funcionpublica.gov.co/eva/gestornormativo/norma.php?i=5496" TargetMode="External"/><Relationship Id="rId12" Type="http://schemas.openxmlformats.org/officeDocument/2006/relationships/hyperlink" Target="https://www.funcionpublica.gov.co/eva/gestornormativo/norma.php?i=665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41249" TargetMode="External"/><Relationship Id="rId11" Type="http://schemas.openxmlformats.org/officeDocument/2006/relationships/hyperlink" Target="https://www.funcionpublica.gov.co/eva/gestornormativo/norma.php?i=66581" TargetMode="External"/><Relationship Id="rId5" Type="http://schemas.openxmlformats.org/officeDocument/2006/relationships/hyperlink" Target="https://www.funcionpublica.gov.co/eva/gestornormativo/norma.php?i=41249" TargetMode="External"/><Relationship Id="rId15" Type="http://schemas.openxmlformats.org/officeDocument/2006/relationships/theme" Target="theme/theme1.xml"/><Relationship Id="rId10" Type="http://schemas.openxmlformats.org/officeDocument/2006/relationships/hyperlink" Target="https://www.funcionpublica.gov.co/eva/gestornormativo/norma.php?i=1466" TargetMode="External"/><Relationship Id="rId4" Type="http://schemas.openxmlformats.org/officeDocument/2006/relationships/hyperlink" Target="https://www.funcionpublica.gov.co/eva/gestornormativo/norma.php?i=68813" TargetMode="External"/><Relationship Id="rId9" Type="http://schemas.openxmlformats.org/officeDocument/2006/relationships/hyperlink" Target="https://www.funcionpublica.gov.co/eva/gestornormativo/norma.php?i=1466"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4510</Characters>
  <Application>Microsoft Office Word</Application>
  <DocSecurity>0</DocSecurity>
  <Lines>100</Lines>
  <Paragraphs>28</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1</cp:revision>
  <dcterms:created xsi:type="dcterms:W3CDTF">2025-11-10T16:42:00Z</dcterms:created>
  <dcterms:modified xsi:type="dcterms:W3CDTF">2025-11-10T16:46:00Z</dcterms:modified>
</cp:coreProperties>
</file>